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69" w:rsidRPr="003B1F6D" w:rsidRDefault="005A1769" w:rsidP="005A1769">
      <w:pPr>
        <w:pStyle w:val="ConsPlusNonformat"/>
        <w:widowControl/>
        <w:jc w:val="center"/>
        <w:rPr>
          <w:rFonts w:asciiTheme="minorHAnsi" w:hAnsiTheme="minorHAnsi" w:cs="Times New Roman"/>
          <w:b/>
          <w:bCs/>
          <w:sz w:val="18"/>
          <w:szCs w:val="18"/>
        </w:rPr>
      </w:pPr>
      <w:r w:rsidRPr="003B1F6D">
        <w:rPr>
          <w:rFonts w:asciiTheme="minorHAnsi" w:hAnsiTheme="minorHAnsi" w:cs="Times New Roman"/>
          <w:b/>
          <w:bCs/>
          <w:sz w:val="18"/>
          <w:szCs w:val="18"/>
        </w:rPr>
        <w:t>Сообщение о существенном факте</w:t>
      </w:r>
    </w:p>
    <w:p w:rsidR="005A1769" w:rsidRPr="003B1F6D" w:rsidRDefault="005A1769" w:rsidP="005A1769">
      <w:pPr>
        <w:pStyle w:val="ConsPlusNonformat"/>
        <w:widowControl/>
        <w:jc w:val="center"/>
        <w:rPr>
          <w:rFonts w:asciiTheme="minorHAnsi" w:hAnsiTheme="minorHAnsi" w:cs="Times New Roman"/>
          <w:b/>
          <w:bCs/>
          <w:sz w:val="18"/>
          <w:szCs w:val="18"/>
        </w:rPr>
      </w:pPr>
      <w:r w:rsidRPr="003B1F6D">
        <w:rPr>
          <w:rFonts w:asciiTheme="minorHAnsi" w:hAnsiTheme="minorHAnsi" w:cs="Times New Roman"/>
          <w:b/>
          <w:bCs/>
          <w:sz w:val="18"/>
          <w:szCs w:val="18"/>
        </w:rPr>
        <w:t xml:space="preserve">«О </w:t>
      </w:r>
      <w:r w:rsidR="000609BC" w:rsidRPr="003B1F6D">
        <w:rPr>
          <w:rFonts w:asciiTheme="minorHAnsi" w:hAnsiTheme="minorHAnsi" w:cs="Times New Roman"/>
          <w:b/>
          <w:bCs/>
          <w:sz w:val="18"/>
          <w:szCs w:val="18"/>
        </w:rPr>
        <w:t>совершении эмитентом или лицом, предоставившим обеспечение по облигациям эмитента, существенной сделки</w:t>
      </w:r>
      <w:r w:rsidRPr="003B1F6D">
        <w:rPr>
          <w:rFonts w:asciiTheme="minorHAnsi" w:hAnsiTheme="minorHAnsi" w:cs="Times New Roman"/>
          <w:b/>
          <w:bCs/>
          <w:sz w:val="18"/>
          <w:szCs w:val="18"/>
        </w:rPr>
        <w:t>»</w:t>
      </w:r>
    </w:p>
    <w:p w:rsidR="005A1769" w:rsidRPr="003B1F6D" w:rsidRDefault="005A1769">
      <w:pPr>
        <w:jc w:val="center"/>
        <w:rPr>
          <w:rFonts w:asciiTheme="minorHAnsi" w:hAnsiTheme="minorHAnsi"/>
          <w:b/>
          <w:bCs/>
          <w:sz w:val="18"/>
          <w:szCs w:val="18"/>
        </w:rPr>
      </w:pPr>
    </w:p>
    <w:tbl>
      <w:tblPr>
        <w:tblW w:w="0" w:type="auto"/>
        <w:tblLayout w:type="fixed"/>
        <w:tblCellMar>
          <w:left w:w="28" w:type="dxa"/>
          <w:right w:w="28" w:type="dxa"/>
        </w:tblCellMar>
        <w:tblLook w:val="0000"/>
      </w:tblPr>
      <w:tblGrid>
        <w:gridCol w:w="1218"/>
        <w:gridCol w:w="2985"/>
        <w:gridCol w:w="644"/>
        <w:gridCol w:w="710"/>
        <w:gridCol w:w="849"/>
        <w:gridCol w:w="284"/>
        <w:gridCol w:w="3564"/>
      </w:tblGrid>
      <w:tr w:rsidR="00D013E2" w:rsidRPr="003B1F6D" w:rsidTr="003B1F6D">
        <w:tc>
          <w:tcPr>
            <w:tcW w:w="10254" w:type="dxa"/>
            <w:gridSpan w:val="7"/>
            <w:tcBorders>
              <w:top w:val="single" w:sz="4" w:space="0" w:color="000000"/>
              <w:left w:val="single" w:sz="4" w:space="0" w:color="000000"/>
              <w:bottom w:val="single" w:sz="4" w:space="0" w:color="000000"/>
              <w:right w:val="single" w:sz="4" w:space="0" w:color="000000"/>
            </w:tcBorders>
          </w:tcPr>
          <w:p w:rsidR="00D013E2" w:rsidRPr="003B1F6D" w:rsidRDefault="00D013E2">
            <w:pPr>
              <w:autoSpaceDE/>
              <w:snapToGrid w:val="0"/>
              <w:jc w:val="center"/>
              <w:rPr>
                <w:rFonts w:asciiTheme="minorHAnsi" w:hAnsiTheme="minorHAnsi"/>
                <w:sz w:val="18"/>
                <w:szCs w:val="18"/>
              </w:rPr>
            </w:pPr>
            <w:r w:rsidRPr="003B1F6D">
              <w:rPr>
                <w:rFonts w:asciiTheme="minorHAnsi" w:hAnsiTheme="minorHAnsi"/>
                <w:sz w:val="18"/>
                <w:szCs w:val="18"/>
              </w:rPr>
              <w:t>1. Общие сведения</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1.1. Полное фирменное наименование эмитента (для некоммерческой организации – наименование)</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b/>
                <w:color w:val="FF0000"/>
                <w:sz w:val="18"/>
                <w:szCs w:val="18"/>
              </w:rPr>
              <w:t>Публичное акционерное общество «Кубанская степь»</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1.2. Сокращенное фирменное наименование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b/>
                <w:color w:val="FF0000"/>
                <w:sz w:val="18"/>
                <w:szCs w:val="18"/>
              </w:rPr>
              <w:t>ПАО «Кубанская степь»</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1.3. Место нахождения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353714, Краснодарский край, Каневской район, поселок Кубанская степь, ул. Набережная, 39</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1.4. ОГРН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1022303979070</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1.5. ИНН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2334005509</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1.6.</w:t>
            </w:r>
            <w:r w:rsidRPr="003B1F6D">
              <w:rPr>
                <w:rFonts w:asciiTheme="minorHAnsi" w:hAnsiTheme="minorHAnsi"/>
                <w:sz w:val="18"/>
                <w:szCs w:val="18"/>
                <w:lang w:val="en-US"/>
              </w:rPr>
              <w:t> </w:t>
            </w:r>
            <w:r w:rsidRPr="003B1F6D">
              <w:rPr>
                <w:rFonts w:asciiTheme="minorHAnsi" w:hAnsiTheme="minorHAnsi"/>
                <w:sz w:val="18"/>
                <w:szCs w:val="18"/>
              </w:rPr>
              <w:t>Уникальный код эмитента, присвоенный регистрирующим органом</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59124-Р</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1.7.</w:t>
            </w:r>
            <w:r w:rsidRPr="003B1F6D">
              <w:rPr>
                <w:rFonts w:asciiTheme="minorHAnsi" w:hAnsiTheme="minorHAnsi"/>
                <w:sz w:val="18"/>
                <w:szCs w:val="18"/>
                <w:lang w:val="en-US"/>
              </w:rPr>
              <w:t> </w:t>
            </w:r>
            <w:r w:rsidRPr="003B1F6D">
              <w:rPr>
                <w:rFonts w:asciiTheme="minorHAnsi" w:hAnsiTheme="minorHAnsi"/>
                <w:sz w:val="18"/>
                <w:szCs w:val="18"/>
              </w:rPr>
              <w:t>Адрес страницы в сети Интернет, используемой эмитентом для раскрытия информации</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spacing w:line="173" w:lineRule="atLeast"/>
              <w:rPr>
                <w:rFonts w:asciiTheme="minorHAnsi" w:hAnsiTheme="minorHAnsi" w:cs="Arial"/>
                <w:b/>
                <w:color w:val="FF0000"/>
                <w:sz w:val="18"/>
                <w:szCs w:val="18"/>
              </w:rPr>
            </w:pPr>
            <w:hyperlink r:id="rId5" w:tgtFrame="_new" w:history="1">
              <w:r w:rsidRPr="004F1D8F">
                <w:rPr>
                  <w:rStyle w:val="af1"/>
                  <w:rFonts w:asciiTheme="minorHAnsi" w:hAnsiTheme="minorHAnsi" w:cs="Arial"/>
                  <w:b/>
                  <w:bCs/>
                  <w:color w:val="FF0000"/>
                  <w:sz w:val="18"/>
                  <w:szCs w:val="18"/>
                </w:rPr>
                <w:t>http://www.e-disclosure.ru/portal/company.aspx?id=1517</w:t>
              </w:r>
            </w:hyperlink>
            <w:r w:rsidRPr="004F1D8F">
              <w:rPr>
                <w:rFonts w:asciiTheme="minorHAnsi" w:hAnsiTheme="minorHAnsi" w:cs="Arial"/>
                <w:b/>
                <w:bCs/>
                <w:color w:val="FF0000"/>
                <w:sz w:val="18"/>
                <w:szCs w:val="18"/>
              </w:rPr>
              <w:br/>
            </w:r>
            <w:hyperlink r:id="rId6" w:tgtFrame="_new" w:history="1">
              <w:r w:rsidRPr="004F1D8F">
                <w:rPr>
                  <w:rStyle w:val="af1"/>
                  <w:rFonts w:asciiTheme="minorHAnsi" w:hAnsiTheme="minorHAnsi" w:cs="Arial"/>
                  <w:b/>
                  <w:bCs/>
                  <w:color w:val="FF0000"/>
                  <w:sz w:val="18"/>
                  <w:szCs w:val="18"/>
                </w:rPr>
                <w:t>http://www.ru-web.com/ks</w:t>
              </w:r>
            </w:hyperlink>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D013E2" w:rsidRPr="003B1F6D" w:rsidRDefault="00D013E2">
            <w:pPr>
              <w:autoSpaceDE/>
              <w:jc w:val="center"/>
              <w:rPr>
                <w:rFonts w:asciiTheme="minorHAnsi" w:hAnsiTheme="minorHAnsi"/>
                <w:sz w:val="18"/>
                <w:szCs w:val="18"/>
              </w:rPr>
            </w:pPr>
            <w:r w:rsidRPr="003B1F6D">
              <w:rPr>
                <w:rFonts w:asciiTheme="minorHAnsi" w:hAnsiTheme="minorHAnsi"/>
                <w:sz w:val="18"/>
                <w:szCs w:val="18"/>
              </w:rPr>
              <w:t>2. Содержание сообщения</w:t>
            </w:r>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2.1. Вид организации, которая совершила существенную сделку (эмитент; лицо, предоставившее обеспечение по облигациям эмитента): </w:t>
            </w:r>
            <w:r w:rsidRPr="003B1F6D">
              <w:rPr>
                <w:rFonts w:asciiTheme="minorHAnsi" w:hAnsiTheme="minorHAnsi"/>
                <w:b/>
                <w:color w:val="FF0000"/>
                <w:sz w:val="18"/>
                <w:szCs w:val="18"/>
              </w:rPr>
              <w:t>эмитент;</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2.2. В случае если организацией, совершившей существенную сделку, является лицо, предоставившее обеспечение по облигациям эмитента, - полное фирменное наименование, место нахождения, ИНН (если применимо), ОГРН (если применимо) такой организации: </w:t>
            </w:r>
            <w:r w:rsidRPr="003B1F6D">
              <w:rPr>
                <w:rFonts w:asciiTheme="minorHAnsi" w:hAnsiTheme="minorHAnsi"/>
                <w:b/>
                <w:color w:val="FF0000"/>
                <w:sz w:val="18"/>
                <w:szCs w:val="18"/>
              </w:rPr>
              <w:t>организацией, совершившей существенную сделку, является эмитент;</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2.3. 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00EB7C83" w:rsidRPr="003B1F6D">
              <w:rPr>
                <w:rFonts w:asciiTheme="minorHAnsi" w:hAnsiTheme="minorHAnsi"/>
                <w:b/>
                <w:color w:val="FF0000"/>
                <w:sz w:val="18"/>
                <w:szCs w:val="18"/>
              </w:rPr>
              <w:t>крупная сделка</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b/>
                <w:sz w:val="18"/>
                <w:szCs w:val="18"/>
              </w:rPr>
            </w:pPr>
            <w:r w:rsidRPr="003B1F6D">
              <w:rPr>
                <w:rFonts w:asciiTheme="minorHAnsi" w:hAnsiTheme="minorHAnsi"/>
                <w:sz w:val="18"/>
                <w:szCs w:val="18"/>
              </w:rPr>
              <w:t xml:space="preserve">2.4. Вид и предмет сделки: </w:t>
            </w:r>
            <w:r w:rsidRPr="003B1F6D">
              <w:rPr>
                <w:rFonts w:asciiTheme="minorHAnsi" w:hAnsiTheme="minorHAnsi"/>
                <w:b/>
                <w:color w:val="FF0000"/>
                <w:sz w:val="18"/>
                <w:szCs w:val="18"/>
              </w:rPr>
              <w:t xml:space="preserve">заключение </w:t>
            </w:r>
            <w:r w:rsidR="00F5354B" w:rsidRPr="003B1F6D">
              <w:rPr>
                <w:rFonts w:asciiTheme="minorHAnsi" w:hAnsiTheme="minorHAnsi"/>
                <w:b/>
                <w:color w:val="FF0000"/>
                <w:sz w:val="18"/>
                <w:szCs w:val="18"/>
              </w:rPr>
              <w:t xml:space="preserve">кредитного </w:t>
            </w:r>
            <w:r w:rsidRPr="003B1F6D">
              <w:rPr>
                <w:rFonts w:asciiTheme="minorHAnsi" w:hAnsiTheme="minorHAnsi"/>
                <w:b/>
                <w:color w:val="FF0000"/>
                <w:sz w:val="18"/>
                <w:szCs w:val="18"/>
              </w:rPr>
              <w:t xml:space="preserve">договора </w:t>
            </w:r>
            <w:r w:rsidR="00F5354B" w:rsidRPr="003B1F6D">
              <w:rPr>
                <w:rFonts w:asciiTheme="minorHAnsi" w:hAnsiTheme="minorHAnsi"/>
                <w:b/>
                <w:color w:val="FF0000"/>
                <w:sz w:val="18"/>
                <w:szCs w:val="18"/>
              </w:rPr>
              <w:t>между ПАО «</w:t>
            </w:r>
            <w:r w:rsidR="00461279">
              <w:rPr>
                <w:rStyle w:val="af0"/>
                <w:rFonts w:asciiTheme="minorHAnsi" w:hAnsiTheme="minorHAnsi" w:cs="Arial"/>
                <w:color w:val="FF0000"/>
                <w:sz w:val="18"/>
                <w:szCs w:val="18"/>
                <w:shd w:val="clear" w:color="auto" w:fill="FFFFFF"/>
              </w:rPr>
              <w:t>Кубанская степь</w:t>
            </w:r>
            <w:r w:rsidR="00F5354B" w:rsidRPr="003B1F6D">
              <w:rPr>
                <w:rFonts w:asciiTheme="minorHAnsi" w:hAnsiTheme="minorHAnsi"/>
                <w:b/>
                <w:color w:val="FF0000"/>
                <w:sz w:val="18"/>
                <w:szCs w:val="18"/>
              </w:rPr>
              <w:t xml:space="preserve">» (Заемщик) и ПАО «МТС-Банк» (Кредитор) </w:t>
            </w:r>
            <w:r w:rsidRPr="003B1F6D">
              <w:rPr>
                <w:rFonts w:asciiTheme="minorHAnsi" w:hAnsiTheme="minorHAnsi"/>
                <w:b/>
                <w:color w:val="FF0000"/>
                <w:sz w:val="18"/>
                <w:szCs w:val="18"/>
              </w:rPr>
              <w:t xml:space="preserve">на </w:t>
            </w:r>
            <w:r w:rsidR="00F5354B" w:rsidRPr="003B1F6D">
              <w:rPr>
                <w:rFonts w:asciiTheme="minorHAnsi" w:hAnsiTheme="minorHAnsi"/>
                <w:b/>
                <w:color w:val="FF0000"/>
                <w:sz w:val="18"/>
                <w:szCs w:val="18"/>
              </w:rPr>
              <w:t>открытие Кредитной линии;</w:t>
            </w:r>
          </w:p>
          <w:p w:rsidR="00B57915" w:rsidRPr="003B1F6D" w:rsidRDefault="00B57915" w:rsidP="00C566D1">
            <w:pPr>
              <w:autoSpaceDN w:val="0"/>
              <w:adjustRightInd w:val="0"/>
              <w:ind w:left="152" w:right="123"/>
              <w:jc w:val="both"/>
              <w:outlineLvl w:val="3"/>
              <w:rPr>
                <w:rFonts w:asciiTheme="minorHAnsi" w:hAnsiTheme="minorHAnsi"/>
                <w:b/>
                <w:sz w:val="18"/>
                <w:szCs w:val="18"/>
              </w:rPr>
            </w:pPr>
            <w:r w:rsidRPr="003B1F6D">
              <w:rPr>
                <w:rFonts w:asciiTheme="minorHAnsi" w:hAnsiTheme="minorHAnsi"/>
                <w:sz w:val="18"/>
                <w:szCs w:val="18"/>
              </w:rPr>
              <w:t xml:space="preserve">2.5. 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F5354B" w:rsidRPr="003B1F6D">
              <w:rPr>
                <w:rFonts w:asciiTheme="minorHAnsi" w:hAnsiTheme="minorHAnsi"/>
                <w:b/>
                <w:color w:val="FF0000"/>
                <w:sz w:val="18"/>
                <w:szCs w:val="18"/>
              </w:rPr>
              <w:t>Кредитор открывает Заемщику Кредитную линию</w:t>
            </w:r>
            <w:r w:rsidR="00C566D1" w:rsidRPr="003B1F6D">
              <w:rPr>
                <w:rFonts w:asciiTheme="minorHAnsi" w:hAnsiTheme="minorHAnsi"/>
                <w:b/>
                <w:color w:val="FF0000"/>
                <w:sz w:val="18"/>
                <w:szCs w:val="18"/>
              </w:rPr>
              <w:t xml:space="preserve"> на условиях, указанных в кредитном договоре</w:t>
            </w:r>
            <w:r w:rsidR="00F5354B" w:rsidRPr="003B1F6D">
              <w:rPr>
                <w:rFonts w:asciiTheme="minorHAnsi" w:hAnsiTheme="minorHAnsi"/>
                <w:b/>
                <w:color w:val="FF0000"/>
                <w:sz w:val="18"/>
                <w:szCs w:val="18"/>
              </w:rPr>
              <w:t xml:space="preserve"> и обязуется в течение двух рабочих дней с момента подписания Соглашения о предоставлении кредита предоставлять Заемщику Кредиты в пределах Лимита выдачи</w:t>
            </w:r>
            <w:r w:rsidR="00C566D1" w:rsidRPr="003B1F6D">
              <w:rPr>
                <w:rFonts w:asciiTheme="minorHAnsi" w:hAnsiTheme="minorHAnsi"/>
                <w:b/>
                <w:color w:val="FF0000"/>
                <w:sz w:val="18"/>
                <w:szCs w:val="18"/>
              </w:rPr>
              <w:t xml:space="preserve"> </w:t>
            </w:r>
            <w:r w:rsidR="00F5354B" w:rsidRPr="003B1F6D">
              <w:rPr>
                <w:rFonts w:asciiTheme="minorHAnsi" w:hAnsiTheme="minorHAnsi"/>
                <w:b/>
                <w:color w:val="FF0000"/>
                <w:sz w:val="18"/>
                <w:szCs w:val="18"/>
              </w:rPr>
              <w:t>с уплатой процентов за пользование кредитом в размере 16 (шестнадцать) процентов годовых.</w:t>
            </w:r>
            <w:r w:rsidR="00C566D1" w:rsidRPr="003B1F6D">
              <w:rPr>
                <w:rFonts w:asciiTheme="minorHAnsi" w:hAnsiTheme="minorHAnsi"/>
                <w:b/>
                <w:color w:val="FF0000"/>
                <w:sz w:val="18"/>
                <w:szCs w:val="18"/>
              </w:rPr>
              <w:t xml:space="preserve"> Срок пользования Кредитом устанавливается в Соглашении о предоставлении кредита и не может превышать 12 (Двенадцать) месяцев и Срок действия Кредитной линии, при этом в период с «26» декабря 2015 года по «19» января 2016 года, а также с «01» апреля 2016 года до окончания Срока действия Кредитной линии выдачи Кредитов не осуществляются. Заемщик обязуется возвратить Кредитору полученный Кредит и уплатить проценты за пользование Кредитом, а также иные платежи, подлежащие уплате Кредитору в порядке и на условиях, предусмотренных Кредитным договором</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2.6. 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срок исполнения обязательств по сделке: </w:t>
            </w:r>
            <w:r w:rsidR="00C566D1" w:rsidRPr="003B1F6D">
              <w:rPr>
                <w:rFonts w:asciiTheme="minorHAnsi" w:hAnsiTheme="minorHAnsi"/>
                <w:b/>
                <w:color w:val="FF0000"/>
                <w:sz w:val="18"/>
                <w:szCs w:val="18"/>
              </w:rPr>
              <w:t>30</w:t>
            </w:r>
            <w:r w:rsidRPr="003B1F6D">
              <w:rPr>
                <w:rFonts w:asciiTheme="minorHAnsi" w:hAnsiTheme="minorHAnsi"/>
                <w:b/>
                <w:color w:val="FF0000"/>
                <w:sz w:val="18"/>
                <w:szCs w:val="18"/>
              </w:rPr>
              <w:t xml:space="preserve"> </w:t>
            </w:r>
            <w:r w:rsidR="00C566D1" w:rsidRPr="003B1F6D">
              <w:rPr>
                <w:rFonts w:asciiTheme="minorHAnsi" w:hAnsiTheme="minorHAnsi"/>
                <w:b/>
                <w:color w:val="FF0000"/>
                <w:sz w:val="18"/>
                <w:szCs w:val="18"/>
              </w:rPr>
              <w:t>ноября</w:t>
            </w:r>
            <w:r w:rsidRPr="003B1F6D">
              <w:rPr>
                <w:rFonts w:asciiTheme="minorHAnsi" w:hAnsiTheme="minorHAnsi"/>
                <w:b/>
                <w:color w:val="FF0000"/>
                <w:sz w:val="18"/>
                <w:szCs w:val="18"/>
              </w:rPr>
              <w:t xml:space="preserve"> </w:t>
            </w:r>
            <w:smartTag w:uri="urn:schemas-microsoft-com:office:smarttags" w:element="metricconverter">
              <w:smartTagPr>
                <w:attr w:name="ProductID" w:val="2016 г"/>
              </w:smartTagPr>
              <w:r w:rsidRPr="003B1F6D">
                <w:rPr>
                  <w:rFonts w:asciiTheme="minorHAnsi" w:hAnsiTheme="minorHAnsi"/>
                  <w:b/>
                  <w:color w:val="FF0000"/>
                  <w:sz w:val="18"/>
                  <w:szCs w:val="18"/>
                </w:rPr>
                <w:t>201</w:t>
              </w:r>
              <w:r w:rsidR="00C566D1" w:rsidRPr="003B1F6D">
                <w:rPr>
                  <w:rFonts w:asciiTheme="minorHAnsi" w:hAnsiTheme="minorHAnsi"/>
                  <w:b/>
                  <w:color w:val="FF0000"/>
                  <w:sz w:val="18"/>
                  <w:szCs w:val="18"/>
                </w:rPr>
                <w:t>6</w:t>
              </w:r>
              <w:r w:rsidRPr="003B1F6D">
                <w:rPr>
                  <w:rFonts w:asciiTheme="minorHAnsi" w:hAnsiTheme="minorHAnsi"/>
                  <w:b/>
                  <w:color w:val="FF0000"/>
                  <w:sz w:val="18"/>
                  <w:szCs w:val="18"/>
                </w:rPr>
                <w:t xml:space="preserve"> г</w:t>
              </w:r>
            </w:smartTag>
            <w:r w:rsidRPr="003B1F6D">
              <w:rPr>
                <w:rFonts w:asciiTheme="minorHAnsi" w:hAnsiTheme="minorHAnsi"/>
                <w:b/>
                <w:color w:val="FF0000"/>
                <w:sz w:val="18"/>
                <w:szCs w:val="18"/>
              </w:rPr>
              <w:t>.;</w:t>
            </w:r>
          </w:p>
          <w:p w:rsidR="00FE71B3"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стороны и выгодоприобретатели по сделке: </w:t>
            </w:r>
          </w:p>
          <w:p w:rsidR="00B57915" w:rsidRPr="003B1F6D" w:rsidRDefault="00C566D1"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b/>
                <w:color w:val="FF0000"/>
                <w:sz w:val="18"/>
                <w:szCs w:val="18"/>
              </w:rPr>
              <w:t xml:space="preserve">ПАО </w:t>
            </w:r>
            <w:r w:rsidR="00FE71B3" w:rsidRPr="003B1F6D">
              <w:rPr>
                <w:rFonts w:asciiTheme="minorHAnsi" w:hAnsiTheme="minorHAnsi"/>
                <w:b/>
                <w:color w:val="FF0000"/>
                <w:sz w:val="18"/>
                <w:szCs w:val="18"/>
              </w:rPr>
              <w:t>«</w:t>
            </w:r>
            <w:r w:rsidR="00461279">
              <w:rPr>
                <w:rStyle w:val="af0"/>
                <w:rFonts w:asciiTheme="minorHAnsi" w:hAnsiTheme="minorHAnsi" w:cs="Arial"/>
                <w:color w:val="FF0000"/>
                <w:sz w:val="18"/>
                <w:szCs w:val="18"/>
                <w:shd w:val="clear" w:color="auto" w:fill="FFFFFF"/>
              </w:rPr>
              <w:t>Кубанская степь</w:t>
            </w:r>
            <w:r w:rsidR="00FE71B3" w:rsidRPr="003B1F6D">
              <w:rPr>
                <w:rFonts w:asciiTheme="minorHAnsi" w:hAnsiTheme="minorHAnsi"/>
                <w:b/>
                <w:color w:val="FF0000"/>
                <w:sz w:val="18"/>
                <w:szCs w:val="18"/>
              </w:rPr>
              <w:t>»</w:t>
            </w:r>
            <w:r w:rsidRPr="003B1F6D">
              <w:rPr>
                <w:rFonts w:asciiTheme="minorHAnsi" w:hAnsiTheme="minorHAnsi"/>
                <w:b/>
                <w:color w:val="FF0000"/>
                <w:sz w:val="18"/>
                <w:szCs w:val="18"/>
              </w:rPr>
              <w:t xml:space="preserve"> (Заемщик) и ПАО «МТС-Банк» (Кредитор)</w:t>
            </w:r>
            <w:r w:rsidR="00B57915"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размер сделки в денежном выражении: </w:t>
            </w:r>
            <w:r w:rsidR="00FE71B3">
              <w:rPr>
                <w:rFonts w:asciiTheme="minorHAnsi" w:hAnsiTheme="minorHAnsi"/>
                <w:b/>
                <w:color w:val="FF0000"/>
                <w:sz w:val="18"/>
                <w:szCs w:val="18"/>
              </w:rPr>
              <w:t>1</w:t>
            </w:r>
            <w:r w:rsidR="00461279">
              <w:rPr>
                <w:rFonts w:asciiTheme="minorHAnsi" w:hAnsiTheme="minorHAnsi"/>
                <w:b/>
                <w:color w:val="FF0000"/>
                <w:sz w:val="18"/>
                <w:szCs w:val="18"/>
              </w:rPr>
              <w:t>65</w:t>
            </w:r>
            <w:r w:rsidR="00C566D1" w:rsidRPr="003B1F6D">
              <w:rPr>
                <w:rFonts w:asciiTheme="minorHAnsi" w:hAnsiTheme="minorHAnsi"/>
                <w:b/>
                <w:color w:val="FF0000"/>
                <w:sz w:val="18"/>
                <w:szCs w:val="18"/>
              </w:rPr>
              <w:t xml:space="preserve"> 000 тыс. </w:t>
            </w:r>
            <w:r w:rsidRPr="003B1F6D">
              <w:rPr>
                <w:rFonts w:asciiTheme="minorHAnsi" w:hAnsiTheme="minorHAnsi"/>
                <w:b/>
                <w:color w:val="FF0000"/>
                <w:sz w:val="18"/>
                <w:szCs w:val="18"/>
              </w:rPr>
              <w:t>рублей;</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размер сделки в процентах от стоимости активов эмитента: </w:t>
            </w:r>
            <w:r w:rsidR="00461279">
              <w:rPr>
                <w:rFonts w:asciiTheme="minorHAnsi" w:hAnsiTheme="minorHAnsi"/>
                <w:b/>
                <w:color w:val="FF0000"/>
                <w:sz w:val="18"/>
                <w:szCs w:val="18"/>
              </w:rPr>
              <w:t>25,8</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2.7. Стоимость </w:t>
            </w:r>
            <w:r w:rsidR="00425148" w:rsidRPr="003B1F6D">
              <w:rPr>
                <w:rFonts w:asciiTheme="minorHAnsi" w:hAnsiTheme="minorHAnsi"/>
                <w:sz w:val="18"/>
                <w:szCs w:val="18"/>
              </w:rPr>
              <w:t>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w:t>
            </w:r>
            <w:r w:rsidRPr="003B1F6D">
              <w:rPr>
                <w:rFonts w:asciiTheme="minorHAnsi" w:hAnsiTheme="minorHAnsi"/>
                <w:sz w:val="18"/>
                <w:szCs w:val="18"/>
              </w:rPr>
              <w:t xml:space="preserve">: </w:t>
            </w:r>
            <w:r w:rsidR="00461279">
              <w:rPr>
                <w:rFonts w:asciiTheme="minorHAnsi" w:hAnsiTheme="minorHAnsi"/>
                <w:b/>
                <w:color w:val="FF0000"/>
                <w:sz w:val="18"/>
                <w:szCs w:val="18"/>
                <w:lang w:eastAsia="ru-RU"/>
              </w:rPr>
              <w:t>638 390</w:t>
            </w:r>
            <w:r w:rsidR="00461279" w:rsidRPr="008E0AEC">
              <w:rPr>
                <w:rFonts w:asciiTheme="minorHAnsi" w:hAnsiTheme="minorHAnsi"/>
                <w:b/>
                <w:color w:val="FF0000"/>
                <w:sz w:val="18"/>
                <w:szCs w:val="18"/>
                <w:lang w:eastAsia="ru-RU"/>
              </w:rPr>
              <w:t xml:space="preserve"> тыс. рублей</w:t>
            </w:r>
          </w:p>
          <w:p w:rsidR="00B57915" w:rsidRPr="003B1F6D" w:rsidRDefault="00B57915" w:rsidP="00B57915">
            <w:pPr>
              <w:autoSpaceDN w:val="0"/>
              <w:adjustRightInd w:val="0"/>
              <w:ind w:left="152" w:right="123"/>
              <w:jc w:val="both"/>
              <w:outlineLvl w:val="3"/>
              <w:rPr>
                <w:rFonts w:asciiTheme="minorHAnsi" w:hAnsiTheme="minorHAnsi"/>
                <w:color w:val="FF0000"/>
                <w:sz w:val="18"/>
                <w:szCs w:val="18"/>
              </w:rPr>
            </w:pPr>
            <w:r w:rsidRPr="003B1F6D">
              <w:rPr>
                <w:rFonts w:asciiTheme="minorHAnsi" w:hAnsiTheme="minorHAnsi"/>
                <w:sz w:val="18"/>
                <w:szCs w:val="18"/>
              </w:rPr>
              <w:t xml:space="preserve">2.8. Дата совершения сделки (заключения договора): </w:t>
            </w:r>
            <w:r w:rsidR="003A3FA2" w:rsidRPr="003B1F6D">
              <w:rPr>
                <w:rFonts w:asciiTheme="minorHAnsi" w:hAnsiTheme="minorHAnsi"/>
                <w:b/>
                <w:color w:val="FF0000"/>
                <w:sz w:val="18"/>
                <w:szCs w:val="18"/>
              </w:rPr>
              <w:t>14</w:t>
            </w:r>
            <w:r w:rsidRPr="003B1F6D">
              <w:rPr>
                <w:rFonts w:asciiTheme="minorHAnsi" w:hAnsiTheme="minorHAnsi"/>
                <w:b/>
                <w:color w:val="FF0000"/>
                <w:sz w:val="18"/>
                <w:szCs w:val="18"/>
              </w:rPr>
              <w:t xml:space="preserve"> октября 201</w:t>
            </w:r>
            <w:r w:rsidR="00FE71B3">
              <w:rPr>
                <w:rFonts w:asciiTheme="minorHAnsi" w:hAnsiTheme="minorHAnsi"/>
                <w:b/>
                <w:color w:val="FF0000"/>
                <w:sz w:val="18"/>
                <w:szCs w:val="18"/>
              </w:rPr>
              <w:t>5</w:t>
            </w:r>
            <w:r w:rsidRPr="003B1F6D">
              <w:rPr>
                <w:rFonts w:asciiTheme="minorHAnsi" w:hAnsiTheme="minorHAnsi"/>
                <w:b/>
                <w:color w:val="FF0000"/>
                <w:sz w:val="18"/>
                <w:szCs w:val="18"/>
              </w:rPr>
              <w:t xml:space="preserve"> г.;</w:t>
            </w:r>
          </w:p>
          <w:p w:rsidR="00DE7862" w:rsidRPr="003B1F6D" w:rsidRDefault="00B57915" w:rsidP="00B57915">
            <w:pPr>
              <w:ind w:left="152" w:right="123"/>
              <w:jc w:val="both"/>
              <w:rPr>
                <w:rFonts w:asciiTheme="minorHAnsi" w:hAnsiTheme="minorHAnsi"/>
                <w:b/>
                <w:bCs/>
                <w:i/>
                <w:iCs/>
                <w:color w:val="000000"/>
                <w:sz w:val="18"/>
                <w:szCs w:val="18"/>
              </w:rPr>
            </w:pPr>
            <w:r w:rsidRPr="003B1F6D">
              <w:rPr>
                <w:rFonts w:asciiTheme="minorHAnsi" w:hAnsiTheme="minorHAnsi"/>
                <w:sz w:val="18"/>
                <w:szCs w:val="18"/>
              </w:rPr>
              <w:t xml:space="preserve">2.9. Сведения </w:t>
            </w:r>
            <w:r w:rsidR="00425148" w:rsidRPr="003B1F6D">
              <w:rPr>
                <w:rFonts w:asciiTheme="minorHAnsi" w:hAnsiTheme="minorHAnsi"/>
                <w:sz w:val="18"/>
                <w:szCs w:val="18"/>
              </w:rPr>
              <w:t>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r w:rsidRPr="003B1F6D">
              <w:rPr>
                <w:rFonts w:asciiTheme="minorHAnsi" w:hAnsiTheme="minorHAnsi"/>
                <w:sz w:val="18"/>
                <w:szCs w:val="18"/>
              </w:rPr>
              <w:t xml:space="preserve">: </w:t>
            </w:r>
            <w:r w:rsidR="003A3FA2" w:rsidRPr="003B1F6D">
              <w:rPr>
                <w:rFonts w:asciiTheme="minorHAnsi" w:hAnsiTheme="minorHAnsi"/>
                <w:b/>
                <w:color w:val="FF0000"/>
                <w:sz w:val="18"/>
                <w:szCs w:val="18"/>
              </w:rPr>
              <w:t>такая сделка не одобрялась</w:t>
            </w:r>
            <w:r w:rsidRPr="003B1F6D">
              <w:rPr>
                <w:rFonts w:asciiTheme="minorHAnsi" w:hAnsiTheme="minorHAnsi"/>
                <w:b/>
                <w:color w:val="FF0000"/>
                <w:sz w:val="18"/>
                <w:szCs w:val="18"/>
              </w:rPr>
              <w:t>.</w:t>
            </w:r>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D013E2" w:rsidRPr="003B1F6D" w:rsidRDefault="00D013E2">
            <w:pPr>
              <w:snapToGrid w:val="0"/>
              <w:jc w:val="center"/>
              <w:rPr>
                <w:rFonts w:asciiTheme="minorHAnsi" w:hAnsiTheme="minorHAnsi"/>
                <w:sz w:val="18"/>
                <w:szCs w:val="18"/>
              </w:rPr>
            </w:pPr>
            <w:r w:rsidRPr="003B1F6D">
              <w:rPr>
                <w:rFonts w:asciiTheme="minorHAnsi" w:hAnsiTheme="minorHAnsi"/>
                <w:sz w:val="18"/>
                <w:szCs w:val="18"/>
              </w:rPr>
              <w:t>3. Подписи</w:t>
            </w:r>
          </w:p>
        </w:tc>
      </w:tr>
      <w:tr w:rsidR="00D013E2" w:rsidRPr="003B1F6D" w:rsidTr="003B1F6D">
        <w:trPr>
          <w:cantSplit/>
          <w:trHeight w:val="566"/>
        </w:trPr>
        <w:tc>
          <w:tcPr>
            <w:tcW w:w="4847" w:type="dxa"/>
            <w:gridSpan w:val="3"/>
            <w:tcBorders>
              <w:left w:val="single" w:sz="4" w:space="0" w:color="000000"/>
            </w:tcBorders>
          </w:tcPr>
          <w:p w:rsidR="00D013E2" w:rsidRPr="003B1F6D" w:rsidRDefault="00D013E2">
            <w:pPr>
              <w:snapToGrid w:val="0"/>
              <w:spacing w:before="20"/>
              <w:ind w:left="85"/>
              <w:rPr>
                <w:rFonts w:asciiTheme="minorHAnsi" w:hAnsiTheme="minorHAnsi"/>
                <w:sz w:val="18"/>
                <w:szCs w:val="18"/>
              </w:rPr>
            </w:pPr>
          </w:p>
          <w:p w:rsidR="00461279" w:rsidRPr="008E0AEC" w:rsidRDefault="00D013E2" w:rsidP="00461279">
            <w:pPr>
              <w:ind w:left="57"/>
              <w:rPr>
                <w:rFonts w:asciiTheme="minorHAnsi" w:hAnsiTheme="minorHAnsi"/>
                <w:b/>
                <w:color w:val="FF0000"/>
                <w:sz w:val="18"/>
                <w:szCs w:val="18"/>
              </w:rPr>
            </w:pPr>
            <w:r w:rsidRPr="003B1F6D">
              <w:rPr>
                <w:rFonts w:asciiTheme="minorHAnsi" w:hAnsiTheme="minorHAnsi"/>
                <w:sz w:val="18"/>
                <w:szCs w:val="18"/>
              </w:rPr>
              <w:t>3.1. </w:t>
            </w:r>
            <w:r w:rsidR="00461279" w:rsidRPr="008E0AEC">
              <w:rPr>
                <w:rFonts w:asciiTheme="minorHAnsi" w:hAnsiTheme="minorHAnsi"/>
                <w:b/>
                <w:color w:val="FF0000"/>
                <w:sz w:val="18"/>
                <w:szCs w:val="18"/>
              </w:rPr>
              <w:t xml:space="preserve">Исполнительный директор </w:t>
            </w:r>
          </w:p>
          <w:p w:rsidR="00D013E2" w:rsidRPr="003B1F6D" w:rsidRDefault="00461279" w:rsidP="00461279">
            <w:pPr>
              <w:spacing w:before="20"/>
              <w:ind w:left="85"/>
              <w:rPr>
                <w:rFonts w:asciiTheme="minorHAnsi" w:hAnsiTheme="minorHAnsi"/>
                <w:sz w:val="18"/>
                <w:szCs w:val="18"/>
              </w:rPr>
            </w:pPr>
            <w:r w:rsidRPr="008E0AEC">
              <w:rPr>
                <w:rFonts w:asciiTheme="minorHAnsi" w:hAnsiTheme="minorHAnsi"/>
                <w:b/>
                <w:color w:val="FF0000"/>
                <w:sz w:val="18"/>
                <w:szCs w:val="18"/>
              </w:rPr>
              <w:t>ПАО «</w:t>
            </w:r>
            <w:r>
              <w:rPr>
                <w:rFonts w:asciiTheme="minorHAnsi" w:hAnsiTheme="minorHAnsi"/>
                <w:b/>
                <w:color w:val="FF0000"/>
                <w:sz w:val="18"/>
                <w:szCs w:val="18"/>
              </w:rPr>
              <w:t>Кубанская степь</w:t>
            </w:r>
            <w:r w:rsidRPr="008E0AEC">
              <w:rPr>
                <w:rFonts w:asciiTheme="minorHAnsi" w:hAnsiTheme="minorHAnsi"/>
                <w:b/>
                <w:color w:val="FF0000"/>
                <w:sz w:val="18"/>
                <w:szCs w:val="18"/>
              </w:rPr>
              <w:t>»</w:t>
            </w:r>
          </w:p>
        </w:tc>
        <w:tc>
          <w:tcPr>
            <w:tcW w:w="1559" w:type="dxa"/>
            <w:gridSpan w:val="2"/>
            <w:tcBorders>
              <w:bottom w:val="single" w:sz="2" w:space="0" w:color="000000"/>
            </w:tcBorders>
          </w:tcPr>
          <w:p w:rsidR="00D013E2" w:rsidRPr="003B1F6D" w:rsidRDefault="00D013E2">
            <w:pPr>
              <w:snapToGrid w:val="0"/>
              <w:spacing w:before="20"/>
              <w:jc w:val="center"/>
              <w:rPr>
                <w:rFonts w:asciiTheme="minorHAnsi" w:hAnsiTheme="minorHAnsi"/>
                <w:sz w:val="18"/>
                <w:szCs w:val="18"/>
              </w:rPr>
            </w:pPr>
          </w:p>
        </w:tc>
        <w:tc>
          <w:tcPr>
            <w:tcW w:w="284" w:type="dxa"/>
          </w:tcPr>
          <w:p w:rsidR="00D013E2" w:rsidRPr="003B1F6D" w:rsidRDefault="00D013E2">
            <w:pPr>
              <w:snapToGrid w:val="0"/>
              <w:spacing w:before="20"/>
              <w:rPr>
                <w:rFonts w:asciiTheme="minorHAnsi" w:hAnsiTheme="minorHAnsi"/>
                <w:sz w:val="18"/>
                <w:szCs w:val="18"/>
              </w:rPr>
            </w:pPr>
          </w:p>
        </w:tc>
        <w:tc>
          <w:tcPr>
            <w:tcW w:w="3564" w:type="dxa"/>
            <w:tcBorders>
              <w:right w:val="single" w:sz="4" w:space="0" w:color="000000"/>
            </w:tcBorders>
          </w:tcPr>
          <w:p w:rsidR="00D013E2" w:rsidRPr="003B1F6D" w:rsidRDefault="00D013E2">
            <w:pPr>
              <w:snapToGrid w:val="0"/>
              <w:spacing w:before="20"/>
              <w:jc w:val="center"/>
              <w:rPr>
                <w:rFonts w:asciiTheme="minorHAnsi" w:hAnsiTheme="minorHAnsi"/>
                <w:sz w:val="18"/>
                <w:szCs w:val="18"/>
              </w:rPr>
            </w:pPr>
          </w:p>
          <w:p w:rsidR="00D013E2" w:rsidRPr="003B1F6D" w:rsidRDefault="00D013E2">
            <w:pPr>
              <w:pStyle w:val="1"/>
              <w:spacing w:before="20"/>
              <w:rPr>
                <w:rFonts w:asciiTheme="minorHAnsi" w:hAnsiTheme="minorHAnsi"/>
                <w:sz w:val="18"/>
                <w:szCs w:val="18"/>
              </w:rPr>
            </w:pPr>
          </w:p>
          <w:p w:rsidR="00D013E2" w:rsidRPr="003B1F6D" w:rsidRDefault="00461279">
            <w:pPr>
              <w:pStyle w:val="1"/>
              <w:spacing w:before="20"/>
              <w:rPr>
                <w:rFonts w:asciiTheme="minorHAnsi" w:hAnsiTheme="minorHAnsi"/>
                <w:b/>
                <w:bCs/>
                <w:i/>
                <w:iCs/>
                <w:sz w:val="18"/>
                <w:szCs w:val="18"/>
              </w:rPr>
            </w:pPr>
            <w:r>
              <w:rPr>
                <w:rFonts w:asciiTheme="minorHAnsi" w:hAnsiTheme="minorHAnsi"/>
                <w:b/>
                <w:color w:val="FF0000"/>
                <w:sz w:val="18"/>
                <w:szCs w:val="18"/>
              </w:rPr>
              <w:t>П.В. Потеха</w:t>
            </w:r>
          </w:p>
        </w:tc>
      </w:tr>
      <w:tr w:rsidR="00D013E2" w:rsidRPr="003B1F6D" w:rsidTr="003B1F6D">
        <w:trPr>
          <w:cantSplit/>
          <w:trHeight w:val="277"/>
        </w:trPr>
        <w:tc>
          <w:tcPr>
            <w:tcW w:w="4847" w:type="dxa"/>
            <w:gridSpan w:val="3"/>
            <w:tcBorders>
              <w:left w:val="single" w:sz="4" w:space="0" w:color="000000"/>
            </w:tcBorders>
          </w:tcPr>
          <w:p w:rsidR="00D013E2" w:rsidRPr="003B1F6D" w:rsidRDefault="00D013E2">
            <w:pPr>
              <w:snapToGrid w:val="0"/>
              <w:ind w:left="85"/>
              <w:rPr>
                <w:rFonts w:asciiTheme="minorHAnsi" w:hAnsiTheme="minorHAnsi"/>
                <w:sz w:val="18"/>
                <w:szCs w:val="18"/>
              </w:rPr>
            </w:pPr>
            <w:r w:rsidRPr="003B1F6D">
              <w:rPr>
                <w:rFonts w:asciiTheme="minorHAnsi" w:hAnsiTheme="minorHAnsi"/>
                <w:sz w:val="18"/>
                <w:szCs w:val="18"/>
              </w:rPr>
              <w:t xml:space="preserve">       </w:t>
            </w:r>
          </w:p>
        </w:tc>
        <w:tc>
          <w:tcPr>
            <w:tcW w:w="1559" w:type="dxa"/>
            <w:gridSpan w:val="2"/>
          </w:tcPr>
          <w:p w:rsidR="00D013E2" w:rsidRPr="003B1F6D" w:rsidRDefault="00D013E2">
            <w:pPr>
              <w:snapToGrid w:val="0"/>
              <w:jc w:val="center"/>
              <w:rPr>
                <w:rFonts w:asciiTheme="minorHAnsi" w:hAnsiTheme="minorHAnsi"/>
                <w:sz w:val="18"/>
                <w:szCs w:val="18"/>
              </w:rPr>
            </w:pPr>
            <w:r w:rsidRPr="003B1F6D">
              <w:rPr>
                <w:rFonts w:asciiTheme="minorHAnsi" w:hAnsiTheme="minorHAnsi"/>
                <w:sz w:val="18"/>
                <w:szCs w:val="18"/>
              </w:rPr>
              <w:t>(подпись)</w:t>
            </w:r>
          </w:p>
        </w:tc>
        <w:tc>
          <w:tcPr>
            <w:tcW w:w="284" w:type="dxa"/>
          </w:tcPr>
          <w:p w:rsidR="00D013E2" w:rsidRPr="003B1F6D" w:rsidRDefault="00D013E2">
            <w:pPr>
              <w:snapToGrid w:val="0"/>
              <w:rPr>
                <w:rFonts w:asciiTheme="minorHAnsi" w:hAnsiTheme="minorHAnsi"/>
                <w:sz w:val="18"/>
                <w:szCs w:val="18"/>
              </w:rPr>
            </w:pPr>
          </w:p>
        </w:tc>
        <w:tc>
          <w:tcPr>
            <w:tcW w:w="3564" w:type="dxa"/>
            <w:tcBorders>
              <w:right w:val="single" w:sz="4" w:space="0" w:color="000000"/>
            </w:tcBorders>
          </w:tcPr>
          <w:p w:rsidR="00D013E2" w:rsidRPr="003B1F6D" w:rsidRDefault="00D013E2">
            <w:pPr>
              <w:pStyle w:val="1"/>
              <w:snapToGrid w:val="0"/>
              <w:rPr>
                <w:rFonts w:asciiTheme="minorHAnsi" w:hAnsiTheme="minorHAnsi"/>
                <w:sz w:val="18"/>
                <w:szCs w:val="18"/>
              </w:rPr>
            </w:pPr>
          </w:p>
        </w:tc>
      </w:tr>
      <w:tr w:rsidR="00127CED" w:rsidRPr="003B1F6D" w:rsidTr="003B1F6D">
        <w:trPr>
          <w:cantSplit/>
          <w:trHeight w:val="410"/>
        </w:trPr>
        <w:tc>
          <w:tcPr>
            <w:tcW w:w="1218" w:type="dxa"/>
            <w:tcBorders>
              <w:left w:val="single" w:sz="4" w:space="0" w:color="000000"/>
              <w:bottom w:val="single" w:sz="4" w:space="0" w:color="000000"/>
            </w:tcBorders>
            <w:vAlign w:val="bottom"/>
          </w:tcPr>
          <w:p w:rsidR="00127CED" w:rsidRPr="003B1F6D" w:rsidRDefault="00127CED">
            <w:pPr>
              <w:snapToGrid w:val="0"/>
              <w:ind w:left="57"/>
              <w:rPr>
                <w:rFonts w:asciiTheme="minorHAnsi" w:hAnsiTheme="minorHAnsi"/>
                <w:sz w:val="18"/>
                <w:szCs w:val="18"/>
              </w:rPr>
            </w:pPr>
            <w:r w:rsidRPr="003B1F6D">
              <w:rPr>
                <w:rFonts w:asciiTheme="minorHAnsi" w:hAnsiTheme="minorHAnsi"/>
                <w:sz w:val="18"/>
                <w:szCs w:val="18"/>
              </w:rPr>
              <w:t xml:space="preserve">3.2. Дата </w:t>
            </w:r>
          </w:p>
        </w:tc>
        <w:tc>
          <w:tcPr>
            <w:tcW w:w="2985" w:type="dxa"/>
            <w:tcBorders>
              <w:bottom w:val="single" w:sz="4" w:space="0" w:color="000000"/>
            </w:tcBorders>
            <w:vAlign w:val="bottom"/>
          </w:tcPr>
          <w:p w:rsidR="00127CED" w:rsidRPr="00FE71B3" w:rsidRDefault="00127CED">
            <w:pPr>
              <w:snapToGrid w:val="0"/>
              <w:rPr>
                <w:rFonts w:asciiTheme="minorHAnsi" w:hAnsiTheme="minorHAnsi"/>
                <w:b/>
                <w:color w:val="FF0000"/>
                <w:sz w:val="18"/>
                <w:szCs w:val="18"/>
              </w:rPr>
            </w:pPr>
            <w:r w:rsidRPr="00FE71B3">
              <w:rPr>
                <w:rFonts w:asciiTheme="minorHAnsi" w:hAnsiTheme="minorHAnsi"/>
                <w:b/>
                <w:color w:val="FF0000"/>
                <w:sz w:val="18"/>
                <w:szCs w:val="18"/>
              </w:rPr>
              <w:t>«</w:t>
            </w:r>
            <w:r w:rsidR="009C0535" w:rsidRPr="00FE71B3">
              <w:rPr>
                <w:rFonts w:asciiTheme="minorHAnsi" w:hAnsiTheme="minorHAnsi"/>
                <w:b/>
                <w:color w:val="FF0000"/>
                <w:sz w:val="18"/>
                <w:szCs w:val="18"/>
              </w:rPr>
              <w:t>14</w:t>
            </w:r>
            <w:r w:rsidRPr="00FE71B3">
              <w:rPr>
                <w:rFonts w:asciiTheme="minorHAnsi" w:hAnsiTheme="minorHAnsi"/>
                <w:b/>
                <w:color w:val="FF0000"/>
                <w:sz w:val="18"/>
                <w:szCs w:val="18"/>
              </w:rPr>
              <w:t>»</w:t>
            </w:r>
            <w:r w:rsidRPr="00FE71B3">
              <w:rPr>
                <w:rFonts w:asciiTheme="minorHAnsi" w:hAnsiTheme="minorHAnsi"/>
                <w:b/>
                <w:color w:val="FF0000"/>
                <w:sz w:val="18"/>
                <w:szCs w:val="18"/>
                <w:lang w:val="en-US"/>
              </w:rPr>
              <w:t xml:space="preserve"> </w:t>
            </w:r>
            <w:r w:rsidR="00B57915" w:rsidRPr="00FE71B3">
              <w:rPr>
                <w:rFonts w:asciiTheme="minorHAnsi" w:hAnsiTheme="minorHAnsi"/>
                <w:b/>
                <w:color w:val="FF0000"/>
                <w:sz w:val="18"/>
                <w:szCs w:val="18"/>
              </w:rPr>
              <w:t>октября</w:t>
            </w:r>
            <w:r w:rsidRPr="00FE71B3">
              <w:rPr>
                <w:rFonts w:asciiTheme="minorHAnsi" w:hAnsiTheme="minorHAnsi"/>
                <w:b/>
                <w:color w:val="FF0000"/>
                <w:sz w:val="18"/>
                <w:szCs w:val="18"/>
                <w:lang w:val="en-US"/>
              </w:rPr>
              <w:t xml:space="preserve"> </w:t>
            </w:r>
            <w:smartTag w:uri="urn:schemas-microsoft-com:office:smarttags" w:element="metricconverter">
              <w:smartTagPr>
                <w:attr w:name="ProductID" w:val="2015 г"/>
              </w:smartTagPr>
              <w:r w:rsidRPr="00FE71B3">
                <w:rPr>
                  <w:rFonts w:asciiTheme="minorHAnsi" w:hAnsiTheme="minorHAnsi"/>
                  <w:b/>
                  <w:color w:val="FF0000"/>
                  <w:sz w:val="18"/>
                  <w:szCs w:val="18"/>
                </w:rPr>
                <w:t>201</w:t>
              </w:r>
              <w:r w:rsidR="009C0535" w:rsidRPr="00FE71B3">
                <w:rPr>
                  <w:rFonts w:asciiTheme="minorHAnsi" w:hAnsiTheme="minorHAnsi"/>
                  <w:b/>
                  <w:color w:val="FF0000"/>
                  <w:sz w:val="18"/>
                  <w:szCs w:val="18"/>
                </w:rPr>
                <w:t>5</w:t>
              </w:r>
              <w:r w:rsidRPr="00FE71B3">
                <w:rPr>
                  <w:rFonts w:asciiTheme="minorHAnsi" w:hAnsiTheme="minorHAnsi"/>
                  <w:b/>
                  <w:color w:val="FF0000"/>
                  <w:sz w:val="18"/>
                  <w:szCs w:val="18"/>
                  <w:lang w:val="en-US"/>
                </w:rPr>
                <w:t xml:space="preserve"> </w:t>
              </w:r>
              <w:r w:rsidRPr="00FE71B3">
                <w:rPr>
                  <w:rFonts w:asciiTheme="minorHAnsi" w:hAnsiTheme="minorHAnsi"/>
                  <w:b/>
                  <w:color w:val="FF0000"/>
                  <w:sz w:val="18"/>
                  <w:szCs w:val="18"/>
                </w:rPr>
                <w:t>г</w:t>
              </w:r>
            </w:smartTag>
            <w:r w:rsidRPr="00FE71B3">
              <w:rPr>
                <w:rFonts w:asciiTheme="minorHAnsi" w:hAnsiTheme="minorHAnsi"/>
                <w:b/>
                <w:color w:val="FF0000"/>
                <w:sz w:val="18"/>
                <w:szCs w:val="18"/>
              </w:rPr>
              <w:t>.</w:t>
            </w:r>
          </w:p>
        </w:tc>
        <w:tc>
          <w:tcPr>
            <w:tcW w:w="6051" w:type="dxa"/>
            <w:gridSpan w:val="5"/>
            <w:tcBorders>
              <w:bottom w:val="single" w:sz="4" w:space="0" w:color="000000"/>
              <w:right w:val="single" w:sz="4" w:space="0" w:color="000000"/>
            </w:tcBorders>
            <w:vAlign w:val="bottom"/>
          </w:tcPr>
          <w:p w:rsidR="00127CED" w:rsidRPr="003B1F6D" w:rsidRDefault="00127CED">
            <w:pPr>
              <w:tabs>
                <w:tab w:val="left" w:pos="1219"/>
              </w:tabs>
              <w:snapToGrid w:val="0"/>
              <w:rPr>
                <w:rFonts w:asciiTheme="minorHAnsi" w:hAnsiTheme="minorHAnsi"/>
                <w:sz w:val="18"/>
                <w:szCs w:val="18"/>
              </w:rPr>
            </w:pPr>
            <w:r w:rsidRPr="003B1F6D">
              <w:rPr>
                <w:rFonts w:asciiTheme="minorHAnsi" w:hAnsiTheme="minorHAnsi"/>
                <w:sz w:val="18"/>
                <w:szCs w:val="18"/>
              </w:rPr>
              <w:t xml:space="preserve"> </w:t>
            </w:r>
            <w:r w:rsidRPr="003B1F6D">
              <w:rPr>
                <w:rFonts w:asciiTheme="minorHAnsi" w:hAnsiTheme="minorHAnsi"/>
                <w:sz w:val="18"/>
                <w:szCs w:val="18"/>
              </w:rPr>
              <w:tab/>
              <w:t>М.П.</w:t>
            </w:r>
          </w:p>
        </w:tc>
      </w:tr>
    </w:tbl>
    <w:p w:rsidR="00D013E2" w:rsidRPr="003B1F6D" w:rsidRDefault="00D013E2">
      <w:pPr>
        <w:rPr>
          <w:rFonts w:asciiTheme="minorHAnsi" w:hAnsiTheme="minorHAnsi"/>
          <w:sz w:val="18"/>
          <w:szCs w:val="18"/>
        </w:rPr>
      </w:pPr>
    </w:p>
    <w:sectPr w:rsidR="00D013E2" w:rsidRPr="003B1F6D" w:rsidSect="009534C1">
      <w:footnotePr>
        <w:pos w:val="beneathText"/>
      </w:footnotePr>
      <w:pgSz w:w="11905" w:h="16837"/>
      <w:pgMar w:top="426"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isplayBackgroundShape/>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C25"/>
    <w:rsid w:val="00005B80"/>
    <w:rsid w:val="00036065"/>
    <w:rsid w:val="000609BC"/>
    <w:rsid w:val="0008185C"/>
    <w:rsid w:val="000869A4"/>
    <w:rsid w:val="000D0265"/>
    <w:rsid w:val="00127CED"/>
    <w:rsid w:val="00190E70"/>
    <w:rsid w:val="002B6551"/>
    <w:rsid w:val="002F5A52"/>
    <w:rsid w:val="003A3FA2"/>
    <w:rsid w:val="003B1F6D"/>
    <w:rsid w:val="00415B62"/>
    <w:rsid w:val="00425148"/>
    <w:rsid w:val="00461279"/>
    <w:rsid w:val="004A0DDA"/>
    <w:rsid w:val="00526309"/>
    <w:rsid w:val="005979A8"/>
    <w:rsid w:val="005A1769"/>
    <w:rsid w:val="005E124C"/>
    <w:rsid w:val="00675A8A"/>
    <w:rsid w:val="00675CA2"/>
    <w:rsid w:val="0070518D"/>
    <w:rsid w:val="00783ECF"/>
    <w:rsid w:val="007F69A3"/>
    <w:rsid w:val="00811134"/>
    <w:rsid w:val="00871F4C"/>
    <w:rsid w:val="00875C16"/>
    <w:rsid w:val="00884013"/>
    <w:rsid w:val="00885CAF"/>
    <w:rsid w:val="008A5E52"/>
    <w:rsid w:val="00910C25"/>
    <w:rsid w:val="00931036"/>
    <w:rsid w:val="00945D5B"/>
    <w:rsid w:val="009534C1"/>
    <w:rsid w:val="009C0535"/>
    <w:rsid w:val="00A374D0"/>
    <w:rsid w:val="00A54D57"/>
    <w:rsid w:val="00A61F88"/>
    <w:rsid w:val="00AA0849"/>
    <w:rsid w:val="00AB2A66"/>
    <w:rsid w:val="00B57915"/>
    <w:rsid w:val="00B731CE"/>
    <w:rsid w:val="00B95FC6"/>
    <w:rsid w:val="00BB0021"/>
    <w:rsid w:val="00C566D1"/>
    <w:rsid w:val="00D013E2"/>
    <w:rsid w:val="00D065D4"/>
    <w:rsid w:val="00D36499"/>
    <w:rsid w:val="00D41756"/>
    <w:rsid w:val="00DE7862"/>
    <w:rsid w:val="00EB37DF"/>
    <w:rsid w:val="00EB7C83"/>
    <w:rsid w:val="00F5354B"/>
    <w:rsid w:val="00FB469C"/>
    <w:rsid w:val="00FE7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spacing w:after="0" w:line="240" w:lineRule="auto"/>
    </w:pPr>
    <w:rPr>
      <w:sz w:val="20"/>
      <w:szCs w:val="20"/>
      <w:lang w:eastAsia="ar-SA"/>
    </w:rPr>
  </w:style>
  <w:style w:type="paragraph" w:styleId="1">
    <w:name w:val="heading 1"/>
    <w:basedOn w:val="a"/>
    <w:next w:val="a"/>
    <w:link w:val="10"/>
    <w:uiPriority w:val="99"/>
    <w:qFormat/>
    <w:pPr>
      <w:keepNext/>
      <w:numPr>
        <w:numId w:val="1"/>
      </w:numPr>
      <w:jc w:val="center"/>
      <w:outlineLvl w:val="0"/>
    </w:pPr>
    <w:rPr>
      <w:sz w:val="24"/>
      <w:szCs w:val="24"/>
    </w:rPr>
  </w:style>
  <w:style w:type="character" w:default="1" w:styleId="a0">
    <w:name w:val="Default Paragraph Font"/>
    <w:link w:val="2"/>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ar-SA"/>
    </w:rPr>
  </w:style>
  <w:style w:type="character" w:customStyle="1" w:styleId="Absatz-Standardschriftart">
    <w:name w:val="Absatz-Standardschriftart"/>
    <w:uiPriority w:val="99"/>
  </w:style>
  <w:style w:type="character" w:customStyle="1" w:styleId="11">
    <w:name w:val="Основной шрифт абзаца1"/>
    <w:uiPriority w:val="99"/>
  </w:style>
  <w:style w:type="character" w:customStyle="1" w:styleId="3">
    <w:name w:val="Знак Знак3"/>
    <w:basedOn w:val="11"/>
    <w:uiPriority w:val="99"/>
    <w:rPr>
      <w:rFonts w:ascii="Cambria" w:eastAsia="Times New Roman" w:hAnsi="Cambria" w:cs="Cambria"/>
      <w:b/>
      <w:bCs/>
      <w:kern w:val="1"/>
      <w:sz w:val="32"/>
      <w:szCs w:val="32"/>
    </w:rPr>
  </w:style>
  <w:style w:type="character" w:customStyle="1" w:styleId="20">
    <w:name w:val="Знак Знак2"/>
    <w:basedOn w:val="11"/>
    <w:uiPriority w:val="99"/>
    <w:rPr>
      <w:rFonts w:cs="Times New Roman"/>
      <w:sz w:val="20"/>
      <w:szCs w:val="20"/>
    </w:rPr>
  </w:style>
  <w:style w:type="character" w:customStyle="1" w:styleId="12">
    <w:name w:val="Знак Знак1"/>
    <w:basedOn w:val="11"/>
    <w:uiPriority w:val="99"/>
    <w:rPr>
      <w:rFonts w:cs="Times New Roman"/>
      <w:sz w:val="20"/>
      <w:szCs w:val="20"/>
    </w:rPr>
  </w:style>
  <w:style w:type="character" w:customStyle="1" w:styleId="a3">
    <w:name w:val="Знак Знак"/>
    <w:basedOn w:val="11"/>
    <w:uiPriority w:val="99"/>
    <w:rPr>
      <w:rFonts w:cs="Times New Roman"/>
      <w:sz w:val="20"/>
      <w:szCs w:val="20"/>
    </w:rPr>
  </w:style>
  <w:style w:type="character" w:customStyle="1" w:styleId="Internetlink">
    <w:name w:val="Internet link"/>
    <w:basedOn w:val="11"/>
    <w:uiPriority w:val="99"/>
    <w:rPr>
      <w:rFonts w:cs="Times New Roman"/>
      <w:color w:val="0000FF"/>
      <w:u w:val="single"/>
    </w:rPr>
  </w:style>
  <w:style w:type="character" w:customStyle="1" w:styleId="WW-Internetlink">
    <w:name w:val="WW-Internet link"/>
    <w:uiPriority w:val="99"/>
    <w:rPr>
      <w:color w:val="000080"/>
      <w:u w:val="single"/>
      <w:lang/>
    </w:rPr>
  </w:style>
  <w:style w:type="character" w:customStyle="1" w:styleId="WW-Internetlink1">
    <w:name w:val="WW-Internet link1"/>
    <w:uiPriority w:val="99"/>
    <w:rPr>
      <w:color w:val="000080"/>
      <w:u w:val="single"/>
      <w:lang/>
    </w:rPr>
  </w:style>
  <w:style w:type="character" w:customStyle="1" w:styleId="WW-Internetlink12">
    <w:name w:val="WW-Internet link12"/>
    <w:uiPriority w:val="99"/>
    <w:rPr>
      <w:color w:val="000080"/>
      <w:u w:val="single"/>
      <w:lang/>
    </w:rPr>
  </w:style>
  <w:style w:type="character" w:customStyle="1" w:styleId="VisitedInternetLink">
    <w:name w:val="Visited Internet Link"/>
    <w:uiPriority w:val="99"/>
    <w:rPr>
      <w:color w:val="800000"/>
      <w:u w:val="single"/>
      <w:lang/>
    </w:rPr>
  </w:style>
  <w:style w:type="character" w:customStyle="1" w:styleId="Internetlink1">
    <w:name w:val="Internet link1"/>
    <w:uiPriority w:val="99"/>
    <w:rPr>
      <w:color w:val="000080"/>
      <w:u w:val="single"/>
      <w:lang/>
    </w:rPr>
  </w:style>
  <w:style w:type="character" w:customStyle="1" w:styleId="Internetlink2">
    <w:name w:val="Internet link2"/>
    <w:uiPriority w:val="99"/>
    <w:rPr>
      <w:color w:val="000080"/>
      <w:u w:val="single"/>
    </w:rPr>
  </w:style>
  <w:style w:type="paragraph" w:customStyle="1" w:styleId="a4">
    <w:name w:val="Заголовок"/>
    <w:basedOn w:val="a"/>
    <w:next w:val="a5"/>
    <w:uiPriority w:val="99"/>
    <w:pPr>
      <w:keepNext/>
      <w:spacing w:before="240" w:after="120"/>
    </w:pPr>
    <w:rPr>
      <w:rFonts w:ascii="Arial" w:hAnsi="Arial" w:cs="Arial"/>
      <w:sz w:val="28"/>
      <w:szCs w:val="28"/>
    </w:rPr>
  </w:style>
  <w:style w:type="paragraph" w:styleId="a5">
    <w:name w:val="Body Text"/>
    <w:basedOn w:val="a"/>
    <w:link w:val="a6"/>
    <w:uiPriority w:val="99"/>
    <w:pPr>
      <w:spacing w:after="120"/>
    </w:pPr>
  </w:style>
  <w:style w:type="character" w:customStyle="1" w:styleId="a6">
    <w:name w:val="Основной текст Знак"/>
    <w:basedOn w:val="a0"/>
    <w:link w:val="a5"/>
    <w:uiPriority w:val="99"/>
    <w:semiHidden/>
    <w:rPr>
      <w:sz w:val="20"/>
      <w:szCs w:val="20"/>
      <w:lang w:eastAsia="ar-SA"/>
    </w:rPr>
  </w:style>
  <w:style w:type="paragraph" w:styleId="a7">
    <w:name w:val="List"/>
    <w:basedOn w:val="a5"/>
    <w:uiPriority w:val="99"/>
  </w:style>
  <w:style w:type="paragraph" w:customStyle="1" w:styleId="13">
    <w:name w:val="Название1"/>
    <w:basedOn w:val="a"/>
    <w:uiPriority w:val="99"/>
    <w:pPr>
      <w:suppressLineNumbers/>
      <w:spacing w:before="120" w:after="120"/>
    </w:pPr>
    <w:rPr>
      <w:rFonts w:ascii="Arial" w:hAnsi="Arial" w:cs="Arial"/>
      <w:i/>
      <w:iCs/>
    </w:rPr>
  </w:style>
  <w:style w:type="paragraph" w:customStyle="1" w:styleId="14">
    <w:name w:val="Указатель1"/>
    <w:basedOn w:val="a"/>
    <w:uiPriority w:val="99"/>
    <w:pPr>
      <w:suppressLineNumbers/>
    </w:pPr>
    <w:rPr>
      <w:rFonts w:ascii="Arial" w:hAnsi="Arial" w:cs="Arial"/>
    </w:rPr>
  </w:style>
  <w:style w:type="paragraph" w:customStyle="1" w:styleId="15">
    <w:name w:val="Название объекта1"/>
    <w:basedOn w:val="a"/>
    <w:uiPriority w:val="99"/>
    <w:pPr>
      <w:spacing w:before="120" w:after="120"/>
    </w:pPr>
    <w:rPr>
      <w:i/>
      <w:iCs/>
    </w:rPr>
  </w:style>
  <w:style w:type="paragraph" w:customStyle="1" w:styleId="Index">
    <w:name w:val="Index"/>
    <w:basedOn w:val="a"/>
    <w:uiPriority w:val="99"/>
  </w:style>
  <w:style w:type="paragraph" w:customStyle="1" w:styleId="Index2">
    <w:name w:val="Index2"/>
    <w:basedOn w:val="a"/>
    <w:uiPriority w:val="99"/>
  </w:style>
  <w:style w:type="paragraph" w:customStyle="1" w:styleId="Index1">
    <w:name w:val="Index1"/>
    <w:basedOn w:val="a"/>
    <w:uiPriority w:val="99"/>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ConsNormal">
    <w:name w:val="ConsNormal"/>
    <w:uiPriority w:val="99"/>
    <w:pPr>
      <w:widowControl w:val="0"/>
      <w:suppressAutoHyphens/>
      <w:autoSpaceDE w:val="0"/>
      <w:spacing w:after="0" w:line="240" w:lineRule="auto"/>
      <w:ind w:right="19771" w:firstLine="539"/>
      <w:jc w:val="both"/>
    </w:pPr>
    <w:rPr>
      <w:rFonts w:ascii="Courier New" w:hAnsi="Courier New" w:cs="Courier New"/>
      <w:sz w:val="20"/>
      <w:szCs w:val="20"/>
      <w:lang w:val="en-US" w:eastAsia="ar-SA"/>
    </w:rPr>
  </w:style>
  <w:style w:type="paragraph" w:customStyle="1" w:styleId="ConsNonformat">
    <w:name w:val="ConsNonformat"/>
    <w:uiPriority w:val="99"/>
    <w:pPr>
      <w:widowControl w:val="0"/>
      <w:suppressAutoHyphens/>
      <w:autoSpaceDE w:val="0"/>
      <w:spacing w:after="0" w:line="240" w:lineRule="auto"/>
      <w:jc w:val="both"/>
    </w:pPr>
    <w:rPr>
      <w:rFonts w:ascii="Courier New" w:hAnsi="Courier New" w:cs="Courier New"/>
      <w:sz w:val="20"/>
      <w:szCs w:val="20"/>
      <w:lang w:eastAsia="ar-SA"/>
    </w:rPr>
  </w:style>
  <w:style w:type="paragraph" w:styleId="a8">
    <w:name w:val="header"/>
    <w:basedOn w:val="a"/>
    <w:link w:val="a9"/>
    <w:uiPriority w:val="99"/>
    <w:pPr>
      <w:tabs>
        <w:tab w:val="center" w:pos="4153"/>
        <w:tab w:val="right" w:pos="8306"/>
      </w:tabs>
    </w:pPr>
  </w:style>
  <w:style w:type="character" w:customStyle="1" w:styleId="a9">
    <w:name w:val="Верхний колонтитул Знак"/>
    <w:basedOn w:val="a0"/>
    <w:link w:val="a8"/>
    <w:uiPriority w:val="99"/>
    <w:semiHidden/>
    <w:rPr>
      <w:sz w:val="20"/>
      <w:szCs w:val="20"/>
      <w:lang w:eastAsia="ar-SA"/>
    </w:rPr>
  </w:style>
  <w:style w:type="paragraph" w:styleId="aa">
    <w:name w:val="footer"/>
    <w:basedOn w:val="a"/>
    <w:link w:val="ab"/>
    <w:uiPriority w:val="99"/>
    <w:pPr>
      <w:tabs>
        <w:tab w:val="center" w:pos="4153"/>
        <w:tab w:val="right" w:pos="8306"/>
      </w:tabs>
    </w:pPr>
  </w:style>
  <w:style w:type="character" w:customStyle="1" w:styleId="ab">
    <w:name w:val="Нижний колонтитул Знак"/>
    <w:basedOn w:val="a0"/>
    <w:link w:val="aa"/>
    <w:uiPriority w:val="99"/>
    <w:semiHidden/>
    <w:rPr>
      <w:sz w:val="20"/>
      <w:szCs w:val="20"/>
      <w:lang w:eastAsia="ar-SA"/>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i/>
      <w:iCs/>
    </w:r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i/>
      <w:iCs/>
    </w:r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i/>
      <w:iCs/>
    </w:r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i/>
      <w:i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i/>
      <w:iCs/>
    </w:rPr>
  </w:style>
  <w:style w:type="paragraph" w:customStyle="1" w:styleId="TableContents2">
    <w:name w:val="Table Contents2"/>
    <w:basedOn w:val="a"/>
    <w:uiPriority w:val="99"/>
  </w:style>
  <w:style w:type="paragraph" w:customStyle="1" w:styleId="TableHeading2">
    <w:name w:val="Table Heading2"/>
    <w:basedOn w:val="TableContents2"/>
    <w:uiPriority w:val="99"/>
    <w:pPr>
      <w:jc w:val="center"/>
    </w:pPr>
    <w:rPr>
      <w:b/>
      <w:bCs/>
      <w:i/>
      <w:iCs/>
    </w:rPr>
  </w:style>
  <w:style w:type="paragraph" w:customStyle="1" w:styleId="ConsPlusNormal">
    <w:name w:val="ConsPlusNormal"/>
    <w:uiPriority w:val="99"/>
    <w:pPr>
      <w:widowControl w:val="0"/>
      <w:suppressAutoHyphens/>
      <w:autoSpaceDE w:val="0"/>
      <w:spacing w:after="0" w:line="240" w:lineRule="auto"/>
      <w:ind w:firstLine="720"/>
    </w:pPr>
    <w:rPr>
      <w:rFonts w:ascii="Arial" w:hAnsi="Arial" w:cs="Arial"/>
      <w:sz w:val="20"/>
      <w:szCs w:val="20"/>
      <w:lang w:eastAsia="ar-SA"/>
    </w:rPr>
  </w:style>
  <w:style w:type="paragraph" w:customStyle="1" w:styleId="ac">
    <w:name w:val="Знак"/>
    <w:basedOn w:val="a"/>
    <w:uiPriority w:val="99"/>
    <w:pPr>
      <w:widowControl/>
      <w:autoSpaceDE/>
      <w:spacing w:after="160" w:line="240" w:lineRule="exact"/>
    </w:pPr>
    <w:rPr>
      <w:rFonts w:ascii="Verdana" w:hAnsi="Verdana" w:cs="Verdana"/>
      <w:lang w:val="en-US"/>
    </w:rPr>
  </w:style>
  <w:style w:type="paragraph" w:customStyle="1" w:styleId="3f3f3f3f3f3f3f3f3f3f3f3f3f3f3f3f3f3f3f3f3f3f3">
    <w:name w:val="О3fс3fн3fо3fв3fн3fо3fй3f т3fе3fк3fс3fт3f с3f о3fт3fс3fт3fу3fп3fо3fм3f 3"/>
    <w:basedOn w:val="a"/>
    <w:uiPriority w:val="99"/>
    <w:pPr>
      <w:ind w:firstLine="567"/>
      <w:jc w:val="both"/>
    </w:pPr>
  </w:style>
  <w:style w:type="paragraph" w:customStyle="1" w:styleId="ad">
    <w:name w:val="Содержимое таблицы"/>
    <w:basedOn w:val="a"/>
    <w:uiPriority w:val="99"/>
    <w:pPr>
      <w:suppressLineNumbers/>
    </w:pPr>
  </w:style>
  <w:style w:type="paragraph" w:customStyle="1" w:styleId="ae">
    <w:name w:val="Заголовок таблицы"/>
    <w:basedOn w:val="ad"/>
    <w:uiPriority w:val="99"/>
    <w:pPr>
      <w:jc w:val="center"/>
    </w:pPr>
    <w:rPr>
      <w:b/>
      <w:bCs/>
    </w:rPr>
  </w:style>
  <w:style w:type="paragraph" w:customStyle="1" w:styleId="ConsPlusNonformat">
    <w:name w:val="ConsPlusNonformat"/>
    <w:uiPriority w:val="99"/>
    <w:rsid w:val="005A1769"/>
    <w:pPr>
      <w:widowControl w:val="0"/>
      <w:autoSpaceDE w:val="0"/>
      <w:autoSpaceDN w:val="0"/>
      <w:adjustRightInd w:val="0"/>
      <w:spacing w:after="0" w:line="240" w:lineRule="auto"/>
    </w:pPr>
    <w:rPr>
      <w:rFonts w:ascii="Courier New" w:hAnsi="Courier New" w:cs="Courier New"/>
      <w:sz w:val="20"/>
      <w:szCs w:val="20"/>
    </w:rPr>
  </w:style>
  <w:style w:type="paragraph" w:customStyle="1" w:styleId="af">
    <w:name w:val="Знак Знак Знак Знак"/>
    <w:basedOn w:val="a"/>
    <w:uiPriority w:val="99"/>
    <w:rsid w:val="005A1769"/>
    <w:pPr>
      <w:widowControl/>
      <w:suppressAutoHyphens w:val="0"/>
      <w:autoSpaceDE/>
      <w:spacing w:after="160" w:line="240" w:lineRule="exact"/>
    </w:pPr>
    <w:rPr>
      <w:rFonts w:ascii="Verdana" w:hAnsi="Verdana" w:cs="Verdana"/>
      <w:lang w:val="en-US" w:eastAsia="en-US"/>
    </w:rPr>
  </w:style>
  <w:style w:type="paragraph" w:customStyle="1" w:styleId="16">
    <w:name w:val="Знак Знак Знак Знак1"/>
    <w:basedOn w:val="a"/>
    <w:uiPriority w:val="99"/>
    <w:rsid w:val="00BB0021"/>
    <w:pPr>
      <w:widowControl/>
      <w:suppressAutoHyphens w:val="0"/>
      <w:autoSpaceDE/>
      <w:spacing w:after="160" w:line="240" w:lineRule="exact"/>
    </w:pPr>
    <w:rPr>
      <w:rFonts w:ascii="Verdana" w:hAnsi="Verdana"/>
      <w:lang w:val="en-US" w:eastAsia="en-US"/>
    </w:rPr>
  </w:style>
  <w:style w:type="paragraph" w:customStyle="1" w:styleId="2">
    <w:name w:val="Знак Знак Знак Знак2"/>
    <w:basedOn w:val="a"/>
    <w:link w:val="a0"/>
    <w:uiPriority w:val="99"/>
    <w:rsid w:val="00B731CE"/>
    <w:pPr>
      <w:widowControl/>
      <w:suppressAutoHyphens w:val="0"/>
      <w:autoSpaceDE/>
      <w:spacing w:after="160" w:line="240" w:lineRule="exact"/>
    </w:pPr>
    <w:rPr>
      <w:rFonts w:ascii="Verdana" w:hAnsi="Verdana"/>
      <w:lang w:val="en-US" w:eastAsia="en-US"/>
    </w:rPr>
  </w:style>
  <w:style w:type="paragraph" w:customStyle="1" w:styleId="prilozhenie">
    <w:name w:val="prilozhenie"/>
    <w:basedOn w:val="a"/>
    <w:uiPriority w:val="99"/>
    <w:rsid w:val="009C0535"/>
    <w:pPr>
      <w:widowControl/>
      <w:suppressAutoHyphens w:val="0"/>
      <w:autoSpaceDE/>
      <w:ind w:firstLine="709"/>
      <w:jc w:val="both"/>
    </w:pPr>
    <w:rPr>
      <w:sz w:val="24"/>
      <w:szCs w:val="24"/>
      <w:lang w:eastAsia="en-US"/>
    </w:rPr>
  </w:style>
  <w:style w:type="character" w:customStyle="1" w:styleId="SUBST">
    <w:name w:val="__SUBST"/>
    <w:uiPriority w:val="99"/>
    <w:rsid w:val="009C0535"/>
    <w:rPr>
      <w:b/>
      <w:i/>
      <w:sz w:val="22"/>
    </w:rPr>
  </w:style>
  <w:style w:type="character" w:styleId="af0">
    <w:name w:val="Strong"/>
    <w:basedOn w:val="a0"/>
    <w:uiPriority w:val="22"/>
    <w:qFormat/>
    <w:rsid w:val="00FE71B3"/>
    <w:rPr>
      <w:b/>
      <w:bCs/>
    </w:rPr>
  </w:style>
  <w:style w:type="character" w:customStyle="1" w:styleId="apple-converted-space">
    <w:name w:val="apple-converted-space"/>
    <w:basedOn w:val="a0"/>
    <w:rsid w:val="00FE71B3"/>
  </w:style>
  <w:style w:type="character" w:styleId="af1">
    <w:name w:val="Hyperlink"/>
    <w:basedOn w:val="a0"/>
    <w:rsid w:val="00FE71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web.com/ks" TargetMode="External"/><Relationship Id="rId5" Type="http://schemas.openxmlformats.org/officeDocument/2006/relationships/hyperlink" Target="http://www.e-disclosure.ru/portal/company.aspx?id=15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Сведения об этапах процедуры эмиссии ценных бумаг</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об этапах процедуры эмиссии ценных бумаг</dc:title>
  <dc:subject/>
  <dc:creator>oper73</dc:creator>
  <cp:keywords/>
  <dc:description/>
  <cp:lastModifiedBy>acer</cp:lastModifiedBy>
  <cp:revision>2</cp:revision>
  <cp:lastPrinted>2013-04-25T12:31:00Z</cp:lastPrinted>
  <dcterms:created xsi:type="dcterms:W3CDTF">2015-10-14T11:12:00Z</dcterms:created>
  <dcterms:modified xsi:type="dcterms:W3CDTF">2015-10-14T11:12:00Z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-1906302673</vt:i4>
  </property>
</Properties>
</file>